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EF" w:rsidRDefault="00277DA0">
      <w:pPr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Разъяснения на сайты органов местного самоуправления Ненецкого автономного округа</w:t>
      </w:r>
    </w:p>
    <w:p w:rsidR="003569EF" w:rsidRDefault="003569EF">
      <w:pPr>
        <w:ind w:firstLine="850"/>
        <w:jc w:val="both"/>
        <w:rPr>
          <w:rFonts w:ascii="Times New Roman" w:hAnsi="Times New Roman"/>
          <w:sz w:val="28"/>
        </w:rPr>
      </w:pPr>
    </w:p>
    <w:p w:rsidR="003569EF" w:rsidRDefault="00277DA0">
      <w:pPr>
        <w:ind w:firstLine="850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>1. Возможность временной внесудебной блокировки денежных средств</w:t>
      </w:r>
    </w:p>
    <w:p w:rsidR="003569EF" w:rsidRDefault="00277DA0">
      <w:pPr>
        <w:ind w:firstLine="85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С 01.09.2025 вступил в силу Федеральный закон от 31.07.2025 </w:t>
      </w:r>
      <w:r>
        <w:rPr>
          <w:rStyle w:val="1"/>
          <w:rFonts w:ascii="Times New Roman" w:hAnsi="Times New Roman"/>
          <w:sz w:val="28"/>
        </w:rPr>
        <w:br/>
        <w:t xml:space="preserve">№ 278-ФЗ, которым установлено право </w:t>
      </w:r>
      <w:r>
        <w:rPr>
          <w:rStyle w:val="1"/>
          <w:rFonts w:ascii="Times New Roman" w:hAnsi="Times New Roman"/>
          <w:sz w:val="28"/>
        </w:rPr>
        <w:t xml:space="preserve">следователя (с согласия руководителя следственного органа) или дознаватель (с согласия прокурора) приостановить операции с деньгами (в </w:t>
      </w:r>
      <w:proofErr w:type="spellStart"/>
      <w:r>
        <w:rPr>
          <w:rStyle w:val="1"/>
          <w:rFonts w:ascii="Times New Roman" w:hAnsi="Times New Roman"/>
          <w:sz w:val="28"/>
        </w:rPr>
        <w:t>т.ч</w:t>
      </w:r>
      <w:proofErr w:type="spellEnd"/>
      <w:r>
        <w:rPr>
          <w:rStyle w:val="1"/>
          <w:rFonts w:ascii="Times New Roman" w:hAnsi="Times New Roman"/>
          <w:sz w:val="28"/>
        </w:rPr>
        <w:t xml:space="preserve">. электронными и теми, которые внесли как аванс </w:t>
      </w:r>
      <w:r>
        <w:rPr>
          <w:rStyle w:val="1"/>
          <w:rFonts w:ascii="Times New Roman" w:hAnsi="Times New Roman"/>
          <w:sz w:val="28"/>
        </w:rPr>
        <w:br/>
        <w:t>за услуги связи).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sz w:val="28"/>
        </w:rPr>
        <w:t>Принятие данного закона обусловлено в первую очеред</w:t>
      </w:r>
      <w:r>
        <w:rPr>
          <w:rStyle w:val="1"/>
          <w:rFonts w:ascii="Times New Roman" w:hAnsi="Times New Roman"/>
          <w:sz w:val="28"/>
        </w:rPr>
        <w:t xml:space="preserve">ь тем, </w:t>
      </w:r>
      <w:r>
        <w:rPr>
          <w:rStyle w:val="1"/>
          <w:rFonts w:ascii="Times New Roman" w:hAnsi="Times New Roman"/>
          <w:sz w:val="28"/>
        </w:rPr>
        <w:br/>
        <w:t>что за последние 6 лет преступность с использованием информационн</w:t>
      </w:r>
      <w:proofErr w:type="gramStart"/>
      <w:r>
        <w:rPr>
          <w:rStyle w:val="1"/>
          <w:rFonts w:ascii="Times New Roman" w:hAnsi="Times New Roman"/>
          <w:sz w:val="28"/>
        </w:rPr>
        <w:t>о-</w:t>
      </w:r>
      <w:proofErr w:type="gramEnd"/>
      <w:r>
        <w:rPr>
          <w:rStyle w:val="1"/>
          <w:rFonts w:ascii="Times New Roman" w:hAnsi="Times New Roman"/>
          <w:sz w:val="28"/>
        </w:rPr>
        <w:t xml:space="preserve"> телекоммуникационных технологий увеличилась в 4 раза, с 174,7 тыс. в 2018 году до 677 тыс. в 2023 году. В настоящее время каждое третье преступление совершается в цифровой среде. Б</w:t>
      </w:r>
      <w:r>
        <w:rPr>
          <w:rStyle w:val="1"/>
          <w:rFonts w:ascii="Times New Roman" w:hAnsi="Times New Roman"/>
          <w:sz w:val="28"/>
        </w:rPr>
        <w:t>олее 80 процентов из них занимают дистанционные хищения.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Fonts w:ascii="Times New Roman" w:hAnsi="Times New Roman"/>
          <w:color w:val="212121"/>
          <w:spacing w:val="2"/>
          <w:sz w:val="28"/>
        </w:rPr>
        <w:t>Так, в 2023 году ущерб, причиненный гражданам преступлениями, совершенными с использованием информационно-телекоммуникационных технол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огий, составил 156,5 млрд. рублей.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При этом сумма ущерба по оконче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нным и приостановленным уголовным делам о «дистанционных хищениях» (из числа находившихся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br/>
        <w:t>в производстве) за 2024 год составила уже более 197,5 млрд. рублей.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Используя современные технологии для незаконного обогащения, злоумышленники похищают денежные 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сре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дства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как через банки, так и при помощи сим-карт мобильных телефонов. При этом совершение преступления занимает несколько минут. Виновные лица, стремясь уйти от ответственности, постоянно меняют IP-адреса, номерные емкости IP-телефонии, сим-карты мобильных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телефонов. Средние сроки использования одних и тех же счетов, электронных сре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дств пл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>атежа для зачисления на них денежных средств, полученных в результате совершения преступлений составляют до 14 дней.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Развитие информационных технологий, их широкое распрос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транение и повышенное влияние на все сферы жизнедеятельности требуют совершенствования механизмов, в том числе нормативного характера, в целях более эффективного противодействия им.</w:t>
      </w:r>
    </w:p>
    <w:p w:rsidR="003569EF" w:rsidRDefault="00277DA0">
      <w:pPr>
        <w:ind w:firstLine="850"/>
        <w:jc w:val="both"/>
      </w:pPr>
      <w:proofErr w:type="gramStart"/>
      <w:r>
        <w:rPr>
          <w:rStyle w:val="1"/>
          <w:rFonts w:ascii="Times New Roman" w:hAnsi="Times New Roman"/>
          <w:sz w:val="28"/>
        </w:rPr>
        <w:t>В связи с чем, Федеральным законом от 31.07.2025 № 278-ФЗ предусмотрена во</w:t>
      </w:r>
      <w:r>
        <w:rPr>
          <w:rStyle w:val="1"/>
          <w:rFonts w:ascii="Times New Roman" w:hAnsi="Times New Roman"/>
          <w:sz w:val="28"/>
        </w:rPr>
        <w:t>зможность в</w:t>
      </w:r>
      <w:r>
        <w:rPr>
          <w:rFonts w:ascii="Times New Roman" w:hAnsi="Times New Roman"/>
          <w:color w:val="212121"/>
          <w:spacing w:val="2"/>
          <w:sz w:val="28"/>
        </w:rPr>
        <w:t xml:space="preserve"> случаях, не терпящих отлагательства, при наличии оснований полагать, что банковские счета (вклад, депозит), электронные денежные средства, авансовые платежи за услуги связи использовались в преступной деятельности путем проведения по ним операц</w:t>
      </w:r>
      <w:r>
        <w:rPr>
          <w:rFonts w:ascii="Times New Roman" w:hAnsi="Times New Roman"/>
          <w:color w:val="212121"/>
          <w:spacing w:val="2"/>
          <w:sz w:val="28"/>
        </w:rPr>
        <w:t>ий по зачислению денежных средств, увеличению остатка электронных денежных средств или авансовых платежей за услуги связи,  следователем (дознавателем) по</w:t>
      </w:r>
      <w:proofErr w:type="gramEnd"/>
      <w:r>
        <w:rPr>
          <w:rFonts w:ascii="Times New Roman" w:hAnsi="Times New Roman"/>
          <w:color w:val="212121"/>
          <w:spacing w:val="2"/>
          <w:sz w:val="28"/>
        </w:rPr>
        <w:t xml:space="preserve"> уголовным делам, находящимся в их производстве, принимать решение о приостановлении операций с вышеук</w:t>
      </w:r>
      <w:r>
        <w:rPr>
          <w:rFonts w:ascii="Times New Roman" w:hAnsi="Times New Roman"/>
          <w:color w:val="212121"/>
          <w:spacing w:val="2"/>
          <w:sz w:val="28"/>
        </w:rPr>
        <w:t>азанным имуществом на срок не более 10 суток.</w:t>
      </w:r>
      <w:r>
        <w:rPr>
          <w:rStyle w:val="1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:rsidR="003569EF" w:rsidRDefault="00277DA0">
      <w:pPr>
        <w:ind w:firstLine="850"/>
        <w:jc w:val="both"/>
      </w:pPr>
      <w:r>
        <w:rPr>
          <w:rFonts w:ascii="Times New Roman" w:hAnsi="Times New Roman"/>
          <w:color w:val="212121"/>
          <w:spacing w:val="2"/>
          <w:sz w:val="28"/>
        </w:rPr>
        <w:t xml:space="preserve">В целях исключения возможных коррупционных рисков для отмены принятого решения о приостановлении операций предусмотрено </w:t>
      </w:r>
      <w:r>
        <w:rPr>
          <w:rFonts w:ascii="Times New Roman" w:hAnsi="Times New Roman"/>
          <w:color w:val="212121"/>
          <w:spacing w:val="2"/>
          <w:sz w:val="28"/>
        </w:rPr>
        <w:lastRenderedPageBreak/>
        <w:t>обязательное согласие руководителя следственного органа для следователя и согласие проку</w:t>
      </w:r>
      <w:r>
        <w:rPr>
          <w:rFonts w:ascii="Times New Roman" w:hAnsi="Times New Roman"/>
          <w:color w:val="212121"/>
          <w:spacing w:val="2"/>
          <w:sz w:val="28"/>
        </w:rPr>
        <w:t>рора для дознавателя.</w:t>
      </w:r>
    </w:p>
    <w:p w:rsidR="003569EF" w:rsidRDefault="003569EF">
      <w:pPr>
        <w:ind w:firstLine="850"/>
        <w:jc w:val="both"/>
      </w:pPr>
    </w:p>
    <w:p w:rsidR="003569EF" w:rsidRDefault="00277DA0">
      <w:pPr>
        <w:ind w:firstLine="850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 xml:space="preserve">2. Ответственность за осквернение воинских захоронений </w:t>
      </w:r>
      <w:r>
        <w:rPr>
          <w:rStyle w:val="1"/>
          <w:rFonts w:ascii="Times New Roman" w:hAnsi="Times New Roman"/>
          <w:b/>
          <w:sz w:val="28"/>
        </w:rPr>
        <w:br/>
        <w:t>и памятников.</w:t>
      </w:r>
    </w:p>
    <w:p w:rsidR="003569EF" w:rsidRDefault="00277DA0">
      <w:pPr>
        <w:ind w:firstLine="850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Федеральным законом от 23.07.2025 № 247-ФЗ внесены изменения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br/>
        <w:t>в статью 243.4 Уголовного кодекса Российской Федерации.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Статьей 243.4 УК РФ предусмотрена ответственн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ость за уничтожение, повреждение либо осквернение расположенных на территории Российской Федерации или за ее пределами воинских захоронений, а также памятников, стел, обелисков, других мемориальных сооружений или объектов, увековечивающих память погибших п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ри защите Отечества или его интересов либо посвященных дням воинской славы России (в том числе мемориальных музеев или памятных знаков на местах боевых действий), а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равно памятников, других мемориальных сооружений или объектов, посвященных лицам, защищавши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м Отечество или его интересы, в целях причинения ущерба историко-культурному значению таких объектов.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Fonts w:ascii="Times New Roman" w:hAnsi="Times New Roman"/>
          <w:color w:val="212121"/>
          <w:spacing w:val="2"/>
          <w:sz w:val="28"/>
        </w:rPr>
        <w:t xml:space="preserve">До введения в действие настоящего Федерального закона ответственность за осквернение предметов, не являющихся символами воинской славы России и объектами </w:t>
      </w:r>
      <w:r>
        <w:rPr>
          <w:rFonts w:ascii="Times New Roman" w:hAnsi="Times New Roman"/>
          <w:color w:val="212121"/>
          <w:spacing w:val="2"/>
          <w:sz w:val="28"/>
        </w:rPr>
        <w:t>захоронения, отсутствовала.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Действие настоящего Федерального закона направлено на повышение уровня уголовно-правовой охраны воинских захоронений, мемориальных сооружений и объектов, увековечивающих память погибших при защите Отечества или его интересов либ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о посвященных дням воинской славы России.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Санкцией статьи предусмотрено наказание в виде штрафа в размере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br/>
        <w:t xml:space="preserve">до трех миллионов рублей или в размере заработной платы или иного дохода осужденного за период до трех лет, либо принудительные работы на срок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br/>
        <w:t>до тр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ех лет, либо лишение  свободы на тот же срок.</w:t>
      </w:r>
    </w:p>
    <w:p w:rsidR="003569EF" w:rsidRDefault="003569EF">
      <w:pPr>
        <w:ind w:firstLine="850"/>
        <w:jc w:val="both"/>
        <w:rPr>
          <w:rFonts w:ascii="Arial" w:hAnsi="Arial"/>
          <w:b/>
        </w:rPr>
      </w:pPr>
    </w:p>
    <w:p w:rsidR="003569EF" w:rsidRDefault="00277DA0">
      <w:pPr>
        <w:ind w:left="709" w:firstLine="141"/>
        <w:jc w:val="both"/>
        <w:rPr>
          <w:rFonts w:ascii="Arial" w:hAnsi="Arial"/>
          <w:b/>
        </w:rPr>
      </w:pPr>
      <w:r>
        <w:rPr>
          <w:rStyle w:val="1"/>
          <w:rFonts w:ascii="Times New Roman" w:hAnsi="Times New Roman"/>
          <w:b/>
          <w:sz w:val="28"/>
        </w:rPr>
        <w:t>3. Возраст привлечения к уголовной ответственности.</w:t>
      </w:r>
    </w:p>
    <w:p w:rsidR="003569EF" w:rsidRDefault="00277DA0">
      <w:pPr>
        <w:ind w:firstLine="850"/>
        <w:jc w:val="both"/>
        <w:rPr>
          <w:rFonts w:ascii="Arial" w:hAnsi="Arial"/>
          <w:b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Способность физического лица нести уголовную ответственность закон связывает не только с его вменяемостью, но и с достижением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br/>
        <w:t>им определенного возраста (ста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тья 19 УК РФ).</w:t>
      </w:r>
    </w:p>
    <w:p w:rsidR="003569EF" w:rsidRDefault="00277DA0">
      <w:pPr>
        <w:ind w:firstLine="850"/>
        <w:jc w:val="both"/>
        <w:rPr>
          <w:rFonts w:ascii="Arial" w:hAnsi="Arial"/>
          <w:b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По общему правилу к уголовной ответственности привлекается лицо, которое ко времени совершения преступления достигло возраста 16 лет. Однако за ряд преступлений ответственность наступает с 14 лет. К таким преступлениям относятся убийство, ум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ышленное причинение тяжкого вреда здоровью, похищение человека, изнасилование, насильственные действия сексуального характера, грабеж, разбой, террористический акт (часть 2 статьи 20 УК РФ). </w:t>
      </w:r>
    </w:p>
    <w:p w:rsidR="003569EF" w:rsidRDefault="00277DA0">
      <w:pPr>
        <w:ind w:firstLine="850"/>
        <w:jc w:val="both"/>
        <w:rPr>
          <w:rFonts w:ascii="Arial" w:hAnsi="Arial"/>
          <w:b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Установление возраста несовершеннолетнего обязательно, поскольку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его возраст входит в число обстоятельств, подлежащих доказыванию, является одним из условий его уголовной ответственности. </w:t>
      </w:r>
    </w:p>
    <w:p w:rsidR="003569EF" w:rsidRDefault="00277DA0">
      <w:pPr>
        <w:ind w:firstLine="850"/>
        <w:jc w:val="both"/>
        <w:rPr>
          <w:rFonts w:ascii="Arial" w:hAnsi="Arial"/>
          <w:b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Лицо считается достигшим возраста, с которого наступает уголовная ответственность, не в день рождения, а по его истечении, т.е. с н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оля часов следующих суток. При установлении возраста несовершеннолетнего днем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br/>
      </w:r>
      <w:r>
        <w:rPr>
          <w:rStyle w:val="1"/>
          <w:rFonts w:ascii="Times New Roman" w:hAnsi="Times New Roman"/>
          <w:color w:val="212121"/>
          <w:spacing w:val="2"/>
          <w:sz w:val="28"/>
        </w:rPr>
        <w:lastRenderedPageBreak/>
        <w:t>его рождения считается последний день того года, который определен экспертами, а при установлении возраста, исчисляемого числом лет, суду следует исходить из предлагаемого экспе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ртами минимального возраста такого лица.</w:t>
      </w:r>
    </w:p>
    <w:p w:rsidR="003569EF" w:rsidRDefault="003569EF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</w:p>
    <w:p w:rsidR="003569EF" w:rsidRDefault="00277DA0">
      <w:pPr>
        <w:ind w:firstLine="850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 xml:space="preserve">4. Ответственность за </w:t>
      </w:r>
      <w:proofErr w:type="spellStart"/>
      <w:r>
        <w:rPr>
          <w:rStyle w:val="1"/>
          <w:rFonts w:ascii="Times New Roman" w:hAnsi="Times New Roman"/>
          <w:b/>
          <w:sz w:val="28"/>
        </w:rPr>
        <w:t>буллинг</w:t>
      </w:r>
      <w:proofErr w:type="spellEnd"/>
      <w:r>
        <w:rPr>
          <w:rStyle w:val="1"/>
          <w:rFonts w:ascii="Times New Roman" w:hAnsi="Times New Roman"/>
          <w:b/>
          <w:sz w:val="28"/>
        </w:rPr>
        <w:t xml:space="preserve">. </w:t>
      </w:r>
    </w:p>
    <w:p w:rsidR="003569EF" w:rsidRDefault="00277DA0">
      <w:pPr>
        <w:ind w:firstLine="850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Буллинг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(от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анг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.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bullying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- запугивание, издевательство, травля) - повторяющаяся агрессия по отношению к определенному субъекту, включающая в себя принуждение и запугивание.</w:t>
      </w:r>
    </w:p>
    <w:p w:rsidR="003569EF" w:rsidRDefault="00277DA0">
      <w:pPr>
        <w:ind w:firstLine="850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Травля, издевательство, носящие систематический характер,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br/>
        <w:t xml:space="preserve">с использованием информационно-телекоммуникационной сети «Интернет» называются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кибербуллингом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. 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За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буллинг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(травлю ребенка) в общеобразовательной организации может наступить гражданская,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административная и (или) уголовная ответственность.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В силу статьи 152 Гражданского кодекса Российской Федерации гражданин, в отношении которого были распространены сведения, порочащие его честь, достоинство и деловую репутацию, вправе требовать в суде опро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вержения таких сведений. А если такие сведения причинили гражданину нравственные или физические страдания, то суд может возложить на нарушителя обязанность денежной компенсации морального вреда (пункт 1 статьи 151 Гражданского кодекса Российской Федерации)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Если лицо подверглось </w:t>
      </w:r>
      <w:proofErr w:type="spellStart"/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буллингу</w:t>
      </w:r>
      <w:proofErr w:type="spellEnd"/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и оно не достигло 14-летнего возраста, иск в суд могут предъявить законные представители несовершеннолетнего лица, право на самостоятельное обращение в суд </w:t>
      </w:r>
      <w:r>
        <w:br/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за защитой своих законных прав и интересов ребенок приобретает </w:t>
      </w:r>
      <w:r>
        <w:br/>
      </w:r>
      <w:r>
        <w:rPr>
          <w:rStyle w:val="1"/>
          <w:rFonts w:ascii="Times New Roman" w:hAnsi="Times New Roman"/>
          <w:color w:val="212121"/>
          <w:spacing w:val="2"/>
          <w:sz w:val="28"/>
        </w:rPr>
        <w:t>по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достижении 14 лет.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В соответствии с частями 1 и 2 статьи 5.61 КоАП РФ лицо может быть привлечено к ответственности за оскорбление, то есть унижение чести </w:t>
      </w:r>
      <w:r>
        <w:br/>
      </w:r>
      <w:r>
        <w:rPr>
          <w:rStyle w:val="1"/>
          <w:rFonts w:ascii="Times New Roman" w:hAnsi="Times New Roman"/>
          <w:color w:val="212121"/>
          <w:spacing w:val="2"/>
          <w:sz w:val="28"/>
        </w:rPr>
        <w:t>и достоинства другого лица, выраженное в неприличной или иной противоречащей общепринятым нормам мор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али и нравственности форме,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br/>
        <w:t xml:space="preserve">а также за оскорбление, содержащееся в публичном выступлении, публично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демонстрирующемся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произведении или СМИ либо совершенное публично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br/>
        <w:t>с использованием информационно-телекоммуникационных сетей, включая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сеть «Интернет».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Статье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й 20.1 КоАП РФ предусмотрено привлечение к ответственности за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данам, а равно уничтожением или повреждением чужого имущества, а также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br/>
        <w:t>за распространение в информационно-телекоммуникационных сетях, в том числе в сети Интернет, информации, выражающей в неприличной форме, которая оскорбляет человеческое достоинство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и об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щественную нравственность.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Указанные действия могут повлечь наложение административного штрафа или административный арест.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В соответствии с законом уголовно наказуемым хулиганством может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lastRenderedPageBreak/>
        <w:t>быть признано такое грубое нарушение общественного порядка, выражающе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е явное неуважение к обществу, которое совершено с применением насилия к гражданам или с угрозой его применения, либо по мотивам политической, идеологической, расовой, национальной или религиозной ненависти или вражды, либо по мотивам ненависти или вражды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в отношении какой-либо социальной группы.</w:t>
      </w:r>
      <w:proofErr w:type="gramEnd"/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Такие действия могут быть совершены как в отношении конкретного человека, так и в отношении неопределенного круга лиц.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Явное неуважение лица к обществу выражается в умышленном нарушении общепризнанных норм и правил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поведения, продиктованном желанием виновного противопоставить себя окружающим, продемонстрировать пренебрежительное отношение к ним.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Ответственность за хулиганство предусмотрена статьей 213 Уголовного кодекса Российской Федерации.</w:t>
      </w:r>
    </w:p>
    <w:p w:rsidR="003569EF" w:rsidRDefault="003569EF">
      <w:pPr>
        <w:ind w:firstLine="850"/>
        <w:jc w:val="both"/>
      </w:pPr>
    </w:p>
    <w:p w:rsidR="003569EF" w:rsidRDefault="00277DA0">
      <w:pPr>
        <w:ind w:firstLine="850"/>
        <w:jc w:val="both"/>
        <w:rPr>
          <w:rFonts w:ascii="Times New Roman" w:hAnsi="Times New Roman"/>
          <w:b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b/>
          <w:sz w:val="28"/>
        </w:rPr>
        <w:t>5.</w:t>
      </w: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 xml:space="preserve"> Утверждена Стратегия</w:t>
      </w: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 xml:space="preserve"> государственной национальной политики Российской Федерации на период до 2036 года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Указом Президента Российской Федерации от 25.11.2025 № 858 утверждена Стратегия государственной национальной политики Российской Федерации на период до 2036 года.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Согласно С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тратегии, целью государственной национальной политики является укрепление единства многонационального народа Российской Федерации (российской нации) и общероссийской гражданской идентичности (гражданского самосознания) при сохранении этнокультурного и язык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ового многообразия для обеспечения развития страны, ее государственной и территориальной целостности, внутренней политической и социальной стабильности.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В качестве приоритетных направлений государственной национальной политики документом определены:</w:t>
      </w:r>
      <w:proofErr w:type="gramEnd"/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укрепл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ение общероссийской гражданской идентичности (гражданского самосознания) на основе традиционных российских духовно-нравственных и культурно-исторических ценностей;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сохранение и поддержка этнокультурного и языкового многообразия Российской Федерации;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обеспе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чение межнационального (межэтнического) и межрелигиозного согласия, противодействие экстремизму и возникновению конфликтов на национальной (этнической) и (или) религиозной почве.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Среди поставленных в Стратегии задач названы, в частности, следующие:</w:t>
      </w:r>
      <w:proofErr w:type="gramEnd"/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популяр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изация использования молодежью в профессиональной и личной коммуникации русского литературного языка, противодействие излишнему использованию иностранной лексики;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содействие формированию объективного восприятия Российской Федерации за рубежом, отношения к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ней как к демократическому федеративному правовому государству, гарантирующему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lastRenderedPageBreak/>
        <w:t>жительства, отношени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я к религии, убеждений, принадлежности к общественным объединениям;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формирование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ии (российской нации), воспитание патриотизма;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культурно-исторических ценностей;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сохр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анение самобытной культуры, традиционного образа жизни и поддержка традиционной хозяйственной деятельности коренных малочисленных народов Российской Федерации;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реализация мер, направленных на противодействие проявлениям неонацизма, русофобии, расизма, ксен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офобии, а также попыткам фальсификации истории в целях нагнетания конфронтации и реваншизма в мировой политике, попыткам пересмотра итогов Второй мировой войны, умаления подвига советского народа в Великой Отечественной войне 1941 - 1945 годов;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развитие се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ти российских культурных центров за рубежом и др.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br/>
        <w:t>Настоящий Указ вступает в силу с 01.01.2026.</w:t>
      </w:r>
    </w:p>
    <w:p w:rsidR="003569EF" w:rsidRDefault="003569EF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</w:p>
    <w:p w:rsidR="003569EF" w:rsidRDefault="00277DA0">
      <w:pPr>
        <w:ind w:firstLine="850"/>
        <w:jc w:val="both"/>
        <w:rPr>
          <w:rFonts w:ascii="Times New Roman" w:hAnsi="Times New Roman"/>
          <w:b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>6. Установлена уголовная ответственность за незаконную регистрацию физического лица в качестве индивидуального предпринимателя.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Федеральным законом от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24.06.2025 № 176-ФЗ, вступившим в законную силу 05.07.2025, в статьи 173.1, 173.2 УК РФ внесены изменения, согласно которым предусмотрена уголовная ответственность: 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- за государственную регистрацию физического лица в качестве индивидуального предпринимате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ля через подставных лиц либо представление в регистрирующий орган данных, повлекшее внесение в единый государственный реестр индивидуальных предпринимателей сведений о подставных лицах (ст. 173.1 УК РФ);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- за предоставление документа, удостоверяющего лично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сть, или выдачу доверенности, если эти действия совершены для внесения в единый государственный реестр индивидуальных предпринимателей сведений о подставном лице (ст. 173.2 УК РФ);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- за приобретение документа, удостоверяющего личность, или использование пе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рсональных данных, полученных незаконным путем, если эти деяния совершены для внесения в единый государственный реестр индивидуальных предпринимателей сведений о подставном лице (ст. 173.2 УК РФ). 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Кроме того, примечание к статье 173.1 УК РФ дополнено положением, в соответствии с которым под подставными лицами понимаются лица, которые являются индивидуальными предпринимателями и путем введения в заблуждение либо без ведома которых были внесены данные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о них в единый государственный реестр индивидуальных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lastRenderedPageBreak/>
        <w:t>предпринимателей, а также лица, которые являются индивидуальными предпринимателями, у которых отсутствует цель ведения предпринимательской деятельности. </w:t>
      </w:r>
      <w:proofErr w:type="gramEnd"/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От ответственности могут освободить подставных л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иц, если они впервые совершили эти преступления и активно способствовали их раскрытию и расследованию.</w:t>
      </w:r>
    </w:p>
    <w:p w:rsidR="003569EF" w:rsidRDefault="003569EF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</w:p>
    <w:p w:rsidR="003569EF" w:rsidRDefault="00277DA0">
      <w:pPr>
        <w:ind w:firstLine="850"/>
        <w:jc w:val="both"/>
        <w:rPr>
          <w:rFonts w:ascii="Times New Roman" w:hAnsi="Times New Roman"/>
          <w:b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 xml:space="preserve">7. С 3 августа 2025 года действует усиленная ответственность за нарушения в сфере маркировки алкогольной, табачной или </w:t>
      </w:r>
      <w:proofErr w:type="spellStart"/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>никотинсодержащей</w:t>
      </w:r>
      <w:proofErr w:type="spellEnd"/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 xml:space="preserve"> продукции.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В со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ответствии с частью 3 статьи 5 Федерального закона от 13.06.2023 № 203-ФЗ «О государственном регулировании производства и оборота табачных изделий, табачной продукции,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никотинсодержащей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продукции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br/>
        <w:t>и сырья для их производства» производство и оборот табачной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продукции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br/>
        <w:t xml:space="preserve">и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никотинсодержащей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продукции должны осуществляться только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br/>
        <w:t>с нанесенными на такую продукцию средствами идентификации, за исключением отдельных случаев.</w:t>
      </w:r>
      <w:proofErr w:type="gramEnd"/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Федеральным законом от 23.07.2025 № 234-ФЗ вводится ответственность:</w:t>
      </w:r>
    </w:p>
    <w:p w:rsidR="003569EF" w:rsidRDefault="00277DA0">
      <w:pPr>
        <w:numPr>
          <w:ilvl w:val="0"/>
          <w:numId w:val="1"/>
        </w:numPr>
        <w:ind w:left="0"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за производство, приоб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ретение, хранение, перевозку для сбыта и продажу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никотинсодержащей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продукции без маркировки или без нанесения необходимой информации. К ответственности привлекут, если есть крупный или особо крупный размер;</w:t>
      </w:r>
    </w:p>
    <w:p w:rsidR="003569EF" w:rsidRDefault="00277DA0">
      <w:pPr>
        <w:numPr>
          <w:ilvl w:val="0"/>
          <w:numId w:val="1"/>
        </w:numPr>
        <w:ind w:left="0"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за изготовление для сбыта или сбыт поддельных сре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дств идентификации для маркировки алкогольной, табачной или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никотинсодержащей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продукции;</w:t>
      </w:r>
    </w:p>
    <w:p w:rsidR="003569EF" w:rsidRDefault="00277DA0">
      <w:pPr>
        <w:numPr>
          <w:ilvl w:val="0"/>
          <w:numId w:val="1"/>
        </w:numPr>
        <w:ind w:left="0"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за использование для маркировки такой продукции заведомо поддельных средств идентификации.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 </w:t>
      </w:r>
    </w:p>
    <w:p w:rsidR="003569EF" w:rsidRDefault="00277DA0">
      <w:pPr>
        <w:ind w:firstLine="850"/>
        <w:jc w:val="both"/>
        <w:rPr>
          <w:rFonts w:ascii="Times New Roman" w:hAnsi="Times New Roman"/>
          <w:b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 xml:space="preserve">8. С 18 июня 2025 года уголовные дела о клевете отнесены к делам </w:t>
      </w:r>
      <w:proofErr w:type="spellStart"/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>частно</w:t>
      </w:r>
      <w:proofErr w:type="spellEnd"/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>-пу</w:t>
      </w: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>бличного обвинения.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С 18.06.2025 преступления, предусмотренные частью 1 статьи 128.1 Уголовного Кодекса Российской Федерации (клевета, то есть распространение заведомо ложных сведений, порочащих честь и достоинство другого лица или подрывающих его репутаци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ю), отнесены к делам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частно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>-публичного обвинения.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Ранее такие дела подпадали под частное обвинение, возбуждались по заявлению потерпевшего, его законного представителя, подлежали прекращению в связи с примирением потерпевшего с обвиняемым.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Теперь возбуждат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ь и рассматривать уголовные дела о клевете без квалифицирующих признаков будут в порядке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частно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>-публичного обвинения.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Пострадавший от клеветы или его представитель не сможет быть обвинителем. Им станет прокурор. В результате изменения порядка уголовного пр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еследования основное бремя доказывания возлагается на правоохранительные органы, что позволит обеспечить более тщательное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lastRenderedPageBreak/>
        <w:t>исследование обстоятельств совершения клеветы в ходе расследования.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Изменение вида уголовного преследования с частного на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частно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>-публи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чный порядок означает невозможность прекращения дела в связи с примирением потерпевшего с обвиняемым.</w:t>
      </w:r>
    </w:p>
    <w:p w:rsidR="003569EF" w:rsidRDefault="003569EF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</w:p>
    <w:p w:rsidR="003569EF" w:rsidRDefault="00277DA0">
      <w:pPr>
        <w:ind w:firstLine="850"/>
        <w:jc w:val="both"/>
        <w:rPr>
          <w:rFonts w:ascii="Times New Roman" w:hAnsi="Times New Roman"/>
          <w:b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>9. «</w:t>
      </w:r>
      <w:proofErr w:type="spellStart"/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>Дроппер</w:t>
      </w:r>
      <w:proofErr w:type="spellEnd"/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>» как участник мошеннической схемы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«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Дропер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» — (от англ.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to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drop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– бросать) подставное физическое или юридическое лицо, используемое в мошеннич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еских схемах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обналичивания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финансовых сре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дств в к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>ачестве посредника.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Указанным Федеральным законом от 24.06.2025 № 176-ФЗ с 05.07.2025 внесены изменения в статью 187 Уголовного кодекса Российской Федерации и установлена ответственность клиентов банков 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за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с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овершенные из корысти: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- передачу электронного средства платежа (доступа к нему) для незаконных операций;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- проведение незаконных операций с электронными средствами платежа по указанию или в интересах другого лица.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 В том числе предусмотрена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ответственность за преступления: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- приобретение или передача другому лицу из корысти электронного средства платежа (доступа к нему) для незаконных операций;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- приобретение электронного средства платежа (доступа к нему) для передачи другому лицу из корысти;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- проведение незаконных операций с электронными средствами платежа.</w:t>
      </w:r>
    </w:p>
    <w:p w:rsidR="003569EF" w:rsidRDefault="00277DA0">
      <w:pPr>
        <w:ind w:firstLine="850"/>
        <w:jc w:val="both"/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Электронным средством платежа в статье 187 УК РФ понимаются предоставленные в соответствии с законодательством Российской Федерации средство и (или) способ, позволяющие клиенту оператора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по переводу денежных средств составлять, удостоверять и передавать распоряжения в целях осуществления перевода денежных средств посредством безналичных расчетов с использованием информационно-коммуникационных технологий (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например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банковские карты, электрон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ные кошельки, система быстрых платежей, мобильные платежные сервисы</w:t>
      </w:r>
      <w:r>
        <w:t xml:space="preserve">). 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Передача электронных сре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дств пл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атежа, предоставление к ним доступа, позволяющего их использование для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обналичивания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денежных средств, а также перевода денежных средств иным лицам, являе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тся средством вывода похищенных денег и применяется злоумышленниками в качестве метода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анонимизации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преступной деятельности.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Сокрытие преступлений, вывод наличных денежных средств, легализация преступных доходов без действий держателя электронного средств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а платежа невозможны, в 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связи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с чем такой вид деятельности является общественно опасным.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Обращаем внимание, что в силу статьи 8 Гражданского кодекса Российской Федерации (далее – ГК РФ) гражданские права и обязанности возникают из неосновательного обогащен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ия.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Согласно статье 1102 ГК РФ лицо, которое без установленных законом, иными правовыми актами или сделкой оснований приобрело или сберегло имущество (приобретатель) за счет другого лица (потерпевшего),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lastRenderedPageBreak/>
        <w:t>обязано возвратить последнему неосновательно приобрет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енное или сбереженное имущество (неосновательное обогащение).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При этом данные правила применяются независимо от того, явилось ли неосновательное обогащение результатом поведения приобретателя имущества, самого потерпевшего, третьих лиц или произошло помимо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их воли. По делам о взыскании неосновательного обогащения обязанность доказать наличие законных оснований для приобретения или сбережения такого имущества возлагается на владельца банковской карты.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Таким образом, «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дроппер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>», передав свою карту злоумышленни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ку за вознаграждение, рискует стать ответчиком по гражданскому делу о взыскании неосновательного обогащения на всю сумму проведенных финансовых операций по его карте. А в случае осведомленности «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дроппера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» о преступном характере совершаемых действий по его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карте, 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последний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может быть привлечен к уголовной ответственности за совершенное преступление.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В Ненецком автономном округе сложилась положительная практика предъявления прокуратурой Архангельской области и Ненецкого автономного округа гражданских исков к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«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дропперам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>» о взыскании неосновательного обогащения, поскольку их причастность к совершению незаконных финансовых операций, подтверждается банковскими документами, даже в том случае, если виновное лицо (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организатор) 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>преступления не установлен.</w:t>
      </w:r>
    </w:p>
    <w:p w:rsidR="003569EF" w:rsidRDefault="003569EF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</w:p>
    <w:p w:rsidR="003569EF" w:rsidRDefault="00277DA0">
      <w:pPr>
        <w:ind w:firstLine="850"/>
        <w:jc w:val="both"/>
        <w:rPr>
          <w:rFonts w:ascii="Times New Roman" w:hAnsi="Times New Roman"/>
          <w:b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>10. Задержа</w:t>
      </w: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>ние несовершеннолетнего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Основанием для задержания лица, не достигшего возраста 19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лет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,м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>ожет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быть: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безнадзорность;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беспризорность;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попрошайничество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>, бродяжничество;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Fonts w:ascii="Times New Roman" w:hAnsi="Times New Roman"/>
          <w:color w:val="212121"/>
          <w:spacing w:val="2"/>
          <w:sz w:val="28"/>
        </w:rPr>
        <w:t>употребление наркотических средств или психотропных веществ, либо употребление алког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ольных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или спиртосодержащих напитков;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совершение общественно-опасных деяний.</w:t>
      </w:r>
    </w:p>
    <w:p w:rsidR="003569EF" w:rsidRDefault="00277DA0">
      <w:pPr>
        <w:ind w:firstLine="850"/>
        <w:jc w:val="both"/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Если несовершеннолетний оказался в правоохранительных органах, то первоначально устанавливаются его данные (фамилия, имя, отчество, место, адрес проживания, место учебы, данные родителей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или опекунов).</w:t>
      </w:r>
    </w:p>
    <w:p w:rsidR="003569EF" w:rsidRDefault="00277DA0">
      <w:pPr>
        <w:ind w:firstLine="850"/>
        <w:jc w:val="both"/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Согласно части 8 статьи 14 Федерального закона от 07.02.2011 № 3-ФЗ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br/>
        <w:t xml:space="preserve">«О полиции» (далее </w:t>
      </w:r>
      <w:r>
        <w:rPr>
          <w:rFonts w:ascii="Times New Roman" w:hAnsi="Times New Roman"/>
          <w:color w:val="212121"/>
          <w:spacing w:val="2"/>
          <w:sz w:val="28"/>
        </w:rPr>
        <w:t>– Закон о полиции)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о каждом случае задержания несовершеннолетнего полиция незамедлительно должна уведомлять его родителей или иных законных представителе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й.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Fonts w:ascii="Times New Roman" w:hAnsi="Times New Roman"/>
          <w:color w:val="212121"/>
          <w:spacing w:val="2"/>
          <w:sz w:val="28"/>
        </w:rPr>
        <w:t>Далее у подростка возьмут объяснение с целью выяснения причин и условий, которые способствовали совершению правонарушения или безнадзорности.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Несовершеннолетние могут содержаться в подразделениях органов внутренних дел не более трех часов (подпункт 1 пу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нкта 2 статьи 21 Федерального закона № 120-ФЗ «Об основах системы профилактики безнадзорности и правонарушений несовершеннолетних»).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lastRenderedPageBreak/>
        <w:t>При задержании несовершеннолетние содержаться отдельно от взрослых.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В случае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,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если у сотрудников полиции имеются достаточны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е основания полагать, что несовершеннолетний имеет при себе оружие, боеприпасы, патроны к оружию, взрывчатые вещества, взрывные устройства, наркотические средства, психотропные вещества или их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прекурсоры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либо ядовитые или радиоактивные вещества, а также ск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рывает предметы хищения, то может быть произведен досмотр вещей, находящихся при нем.</w:t>
      </w:r>
    </w:p>
    <w:p w:rsidR="003569EF" w:rsidRDefault="00277DA0">
      <w:pPr>
        <w:ind w:firstLine="850"/>
        <w:jc w:val="both"/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Личный досмотр производится лицом одного пола с досматриваемым в присутствии двух понятых того же пола.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О личном досмотре, досмотре вещей, находящихся при физическом лице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, составляется протокол либо делается соответствующая запись в протоколе о доставлении или в протоколе об административном задержани</w:t>
      </w:r>
      <w:r>
        <w:t>и.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Если по окончании задержания несовершеннолетние не могут быть переданы родителям (законным представителям), то они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помещаются в центры временного содержания для несовершеннолетних правонарушителей органов внутренних дел на срок не более 48 часов.</w:t>
      </w:r>
    </w:p>
    <w:p w:rsidR="003569EF" w:rsidRDefault="003569EF">
      <w:pPr>
        <w:jc w:val="both"/>
        <w:rPr>
          <w:rFonts w:ascii="Times New Roman" w:hAnsi="Times New Roman"/>
          <w:color w:val="212121"/>
          <w:spacing w:val="2"/>
          <w:sz w:val="28"/>
        </w:rPr>
      </w:pP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>11. Ответственность за поиск экстремистских материалов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В соответствии с частью 1 статьи 12 Федерального закона от 25.07.200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2 №  114-ФЗ «О противодействии экстремистской деятельности» запрещается использование сетей связи общего пользования и (или) информационно-телекоммуникационных сетей, в том числе сети «Интернет», для осуществления экстремистской деятельности.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Понятие экстр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емистских материалов закреплено в пункте 3 статьи 1 Федерального закона от 25.07.2002 № 114-ФЗ «О противодействии экстремистской деятельности и включает в себя, в том числе документы либо информацию, призывающие к осуществлению экстремистской деятельности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либо обосновывающие или оправдывающие необходимость осуществления такой деятельности. Следует иметь в виду, что публичное оправдание терроризма и иная террористическая деятельность также являются видом экстремизма.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Федеральный список экстремистских материа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лов ведет Министерство юстиции Российской Федерации. На сегодняшний день данный список опубликован  на официальном сайте Минюста России и насчитывает 5 489 материалов, последние из которых были добавлены в него в декабре 2025 года. Включение информационных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материалов в указанный список осуществляется на основе вступивших в силу судебных решений о признании материалов 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экстремистскими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>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Федеральным законом от 31.07.2025 № 281-ФЗ с 01.09.2025 введена статья 13.53 КоАП РФ, которой устанавливается административна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я ответственность для граждан за умышленное осуществление поиска в сети «Интернет» заведомо экстремистских материалов.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Ответственность предусмотрена для тех, кто целенаправленно вводит в поисковике определенные запросы, демонстрируя тем самым интерес к ним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и заведомо зная, что данный материал является экстремистским, это могут быть как ключевые слова, так и ссылка на сайт в сети «Интернет».</w:t>
      </w:r>
    </w:p>
    <w:p w:rsidR="003569EF" w:rsidRDefault="00277DA0">
      <w:pPr>
        <w:widowControl/>
        <w:ind w:firstLine="540"/>
        <w:jc w:val="both"/>
      </w:pPr>
      <w:r>
        <w:lastRenderedPageBreak/>
        <w:br/>
      </w:r>
      <w:r>
        <w:br/>
      </w:r>
    </w:p>
    <w:p w:rsidR="003569EF" w:rsidRDefault="00277DA0">
      <w:pPr>
        <w:widowControl/>
        <w:ind w:firstLine="540"/>
        <w:jc w:val="both"/>
      </w:pPr>
      <w:r>
        <w:br/>
      </w: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ab/>
        <w:t>12. Правила проверки водителей на опьянение</w:t>
      </w:r>
    </w:p>
    <w:p w:rsidR="003569EF" w:rsidRDefault="00277DA0">
      <w:pPr>
        <w:widowControl/>
        <w:ind w:firstLine="850"/>
        <w:jc w:val="both"/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В случае выявления у водителя признаков опьянения он отстраняется от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управления транспортным средством, после чего ему предлагается пройти освидетельствование на состояние алкогольного опьянения.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О состоянии алкогольного опьянения могут свидетельствовать запах алкоголя изо рта, и (или) неустойчивость позы, и (или) нарушение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речи, и (или) резкое изменение окраски кожных покровов лица, и (или) поведение, не соответствующее обстановке.</w:t>
      </w:r>
      <w:proofErr w:type="gramEnd"/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В случае согласия водителя на прохождение освидетельствования инспектор ГИ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БДД пр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оводит эту процедуру с помощью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алкотестера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>, имеющего функцию зап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иси результатов измерения на бумажный носитель. Освидетельствование проводится в присутствии двух понятых либо с применением видеозаписи. Перед освидетельствованием водителя проинформируют о порядке освидетельствования с применением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алкотестера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(в соответс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твии с руководством по его эксплуатации) и о наличии сведений о результатах его поверки.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ть измерений, а именно 0,16 миллиграмма на один литр выдыхаемого воздуха.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Результаты освидетельствования отражаются в акте освидетельствования, копия которого вручается водителю. К акту приобщается бумажный носитель с записью результатов измерений.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В устан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овленных случаях, например при отказе от прохождения освидетельствования, инспектором ГИБДД водитель направляется на медицинское освидетельствование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Ответственность за вождение в состоянии опьянения и связанные с этим нарушения наступает в случае установле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или наличием абсолютного этилового спирта в концентрации 0,3 и более грамма на один литр крови, либо в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случае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наличия наркотических средств, психотропных веществ (например,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фенобарбитал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) или их аналогов либо новых потенциально опасных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психоактивных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вещест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в в организме человека.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При этом к состоянию опьянения не относится состояние, которое вызывается употреблением лекарственных препаратов, не относящихся к этиловому спирту, наркотическим средствам и психотропным веществам, но способных ухудшить реакцию и в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нимание.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br/>
        <w:t xml:space="preserve"> </w:t>
      </w: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>13. Ответственность за уклонение от уплаты алиментов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lastRenderedPageBreak/>
        <w:t xml:space="preserve">В случае образования задолженности по вине лица, обязанного уплачивать алименты по решению суда, виновное лицо несет ответственность в порядке, предусмотренном законодательством. 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Должник може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т быть привлечен к административной ответственности за неуплату алиментов без уважительных причин в нарушение решения суда, что предусмотрено статьей 5.35.1 КоАП РФ.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Период неуплаты алиментов в данном случае должен составлять не менее двух месяцев подряд в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рамках возбужденного исполнительного производства.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Лицо, обязанное уплачивать алименты, подлежит привлечению к административной ответственности и в том случае, если установлен факт умышленной неполной уплаты им средств на содержание детей, то есть уплаты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алиментов в размере меньшем, чем это предусмотрено судебным актом или соглашением об уплате алиментов, поскольку данное обстоятельство является их нарушением. 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При рассмотрении дел об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администаривных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правонарушениях данной категории уважительными причинами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неуплаты алиментов могут быть признаны такие обстоятельства, при которых неуплата средств на содержание детей имела место независимо от воли лица, обязанного их уплачивать  (например, в связи с его болезнью (нетрудоспособностью); по вине других лиц, в час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тности в связи с невыплатой заработной платы работодателем, задержкой или неправильным перечислением банком сумм по алиментам; вследствие обстоятельств непреодолимой силы; ввиду прохождения лицом военной службы по призыву и т.д.).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За злостное уклонение от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уплаты алиментов родитель несет уголовную ответственность в соответствии со статьей 157 УК РФ, которая наступает при условии, если умышленная неуплата без уважительных причин средств на содержание несовершеннолетних детей либо нетрудоспособных детей, дости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гших восемнадцатилетнего возраста в нарушение судебного акта (в том числе решения суда, судебного приказа, постановления о взыскании алиментов до вступления в законную силу решения суда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о взыскании алиментов) или нотариально удостоверенного соглашения 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сове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ршена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неоднократно.</w:t>
      </w:r>
    </w:p>
    <w:p w:rsidR="003569EF" w:rsidRDefault="00277DA0">
      <w:pPr>
        <w:widowControl/>
        <w:ind w:firstLine="850"/>
        <w:jc w:val="both"/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Уголовная ответственность по статье 157 УК РФ наступает только в тех случаях, когда лицо имело реальную возможность выплачивать алименты, но умышленно уклонялось от исполнения возложенной на него обязанности, в том числе производило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платежи в размере менее установленного судебным актом или нотариально удостоверенным соглашением, например, нерегулярные или незначительные платежи. Если же невыполнение им алиментных обязательств было связано с наличием причин, которые будут признаны судо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м уважительными, то данные деяния не образуют состава преступления.</w:t>
      </w:r>
    </w:p>
    <w:p w:rsidR="003569EF" w:rsidRDefault="00277DA0">
      <w:pPr>
        <w:widowControl/>
        <w:ind w:firstLine="850"/>
        <w:jc w:val="both"/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Следует обратить внимание, что покупка продуктов, дарение вещей, оплата расходов, если такие действия не носили постоянного характера и не свидетельствовали о нахождении ребенка (детей) на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иждивении у лица, обязанного уплачивать алименты, не освобождают его от обязанности уплачивать алименты в полном объеме</w:t>
      </w:r>
      <w:r>
        <w:t>.</w:t>
      </w:r>
    </w:p>
    <w:p w:rsidR="003569EF" w:rsidRDefault="003569EF">
      <w:pPr>
        <w:widowControl/>
        <w:ind w:firstLine="850"/>
        <w:jc w:val="both"/>
        <w:rPr>
          <w:rFonts w:ascii="Times New Roman" w:hAnsi="Times New Roman"/>
          <w:b/>
          <w:color w:val="212121"/>
          <w:spacing w:val="2"/>
          <w:sz w:val="28"/>
        </w:rPr>
      </w:pPr>
    </w:p>
    <w:p w:rsidR="003569EF" w:rsidRDefault="003569EF">
      <w:pPr>
        <w:widowControl/>
        <w:ind w:firstLine="850"/>
        <w:jc w:val="both"/>
        <w:rPr>
          <w:rFonts w:ascii="Times New Roman" w:hAnsi="Times New Roman"/>
          <w:b/>
          <w:color w:val="212121"/>
          <w:spacing w:val="2"/>
          <w:sz w:val="28"/>
        </w:rPr>
      </w:pPr>
    </w:p>
    <w:p w:rsidR="003569EF" w:rsidRDefault="00277DA0">
      <w:pPr>
        <w:widowControl/>
        <w:ind w:firstLine="850"/>
        <w:jc w:val="both"/>
        <w:rPr>
          <w:rFonts w:ascii="Times New Roman" w:hAnsi="Times New Roman"/>
          <w:b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>14. Соблюдение разумного срока уголовного судопроизводства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В  соответствии  со  ст. 6.1.  Уголовно-процессуального  кодекса Российск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ой  Федерации  уголовное  судопроизводство  осуществляется  в разумный  срок.  Указанная  норма  права  введена  Федеральным  законом  от 30.04.2010 №69-ФЗ.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Понятие  разумного  срока  уголовного  судопроизводства  закреплено  в пункте 1  статьи 6  Европейс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кой  конвенции  о  защите  прав  человека  и  основных  свобод. Сроки  досудебного  производства  установлены  в  Уголовно-процессуальном кодексе Российской Федерации.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В связи  с особой актуальностью вопросы  соблюдения  разумных  сроков на досудебной  ста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дии  уголовного  судопроизводства  находятся  на постоянном контроле органов прокуратуры Архангельской области и Ненецкого автономного округа.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При  оценке  разумности  срока  расследования  уголовного  дела учитывается  его  правовая  и  фактическая  сложн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ость,  необходимость проведения  экспертиз,  допроса  значительного  числа  свидетелей,  объем предъявленного  обвинения,  количество  подозреваемых,  обвиняемых, подсудимых,  потерпевших,  наличие  международных  следственных поручений.  При  этом  превыш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ение  разумных  сроков  уголовного судопроизводства  не  могут  оправдывать  обстоятельства,  связанные  с организацией работы органов дознания и следствия.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На  органы  прокуратуры  Российской  Федерации  возложено осуществление  надлежащего  надзора  за 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обеспечением  прав  граждан  на судопроизводство  и  исполнение  судебных  актов  в  разумные  сроки,  в  том числе  за  соблюдением  органами  предварительного  следствия  и  дознания разумного  срока  уголовного  судопроизводства. 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В  этой  связи правоох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ранительные  органы  в  целях  обеспечения  неуклонного  исполнения уголовно-процессуального  законодательства  обязаны  обеспечить соблюдение  сроков  рассмотрения  сообщений  о  преступлениях  и расследования  уголовных  дел,  предупреждение  фактов  нар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ушения  разумных сроков на досудебной стадии уголовного судопроизводства.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Вопросы  соблюдения  сроков  расследования  находятся  в  постоянном поле  зрения  прокуроров  и  являются  предметом  систематического  анализа. При  выявлении  фактов  волокиты,  д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опускаемой  органами  предварительного следствия  и  дознания  при  рассмотрении  сообщений  о  преступлениях  и расследовании  уголовных  дел,  органы  прокуратуры  принимают  меры реагирования  с  постановкой  вопроса  об  ответственности  виновных должн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остных лиц.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lastRenderedPageBreak/>
        <w:t>Принципиальному  прокурорскому  реагированию  подвергаются нарушения  уголовно-процессуального  законодательства,  допускаемые  при вынесении  постановлений  о  приостановлении  предварительного  следствия вместо  продления  сроков  расследован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ия,  а  также  при  отсутствии  оснований, установленных  статьей 208  УПК  РФ.  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На  досудебных  стадиях  уголовного судопроизводства  обращается  внимание  на  соблюдение  процессуальных сроков  при  проведении  </w:t>
      </w:r>
      <w:proofErr w:type="spellStart"/>
      <w:r>
        <w:rPr>
          <w:rStyle w:val="1"/>
          <w:rFonts w:ascii="Times New Roman" w:hAnsi="Times New Roman"/>
          <w:color w:val="212121"/>
          <w:spacing w:val="2"/>
          <w:sz w:val="28"/>
        </w:rPr>
        <w:t>доследственных</w:t>
      </w:r>
      <w:proofErr w:type="spellEnd"/>
      <w:r>
        <w:rPr>
          <w:rStyle w:val="1"/>
          <w:rFonts w:ascii="Times New Roman" w:hAnsi="Times New Roman"/>
          <w:color w:val="212121"/>
          <w:spacing w:val="2"/>
          <w:sz w:val="28"/>
        </w:rPr>
        <w:t>  проверок,  законности  и о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боснованности  их  продления,  факты  немотивированной  пересылки заявлений  и  сообщений  о  преступлениях,  а  также  нарушения  сроков осуществления  проверочных  мероприятий  и  следственных  действий, вынесения заведомо незаконных и необоснованных реш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ений.</w:t>
      </w:r>
    </w:p>
    <w:p w:rsidR="003569EF" w:rsidRDefault="003569EF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</w:p>
    <w:p w:rsidR="003569EF" w:rsidRDefault="00277DA0">
      <w:pPr>
        <w:widowControl/>
        <w:ind w:firstLine="850"/>
        <w:jc w:val="both"/>
        <w:rPr>
          <w:rFonts w:ascii="Times New Roman" w:hAnsi="Times New Roman"/>
          <w:b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>15. Меры пресечения в уголовном процессе и основания их применения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Под мерами пресечения уголовно-процессуальный закон понимает применяемые правоохранительными органами и судом нормы, ограничивающие личную свободу подозреваемого, обвиняемого, подсуд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имого, осужденного с целью обеспечения их надлежащего поведения.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Меры пресечения применяются при наличии оснований полагать, что обвиняемый, подозреваемый: скроется от органов предварительного следствия или суда; может продолжить заниматься преступной деят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ельностью; может угрожать свидетелю, иным участникам уголовного судопроизводства, уничтожить доказательства либо иным путем воспрепятствовать производству по уголовному делу.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В соответствии со статьей 97 Уголовно-процессуального кодекса Российской Федераци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и мерами пресечения являются: подписка о невыезде; личное поручительство; наблюдение командования воинской части; присмотр за несовершеннолетним обвиняемым; запрет определенных действий; залог; домашний арест; заключение под стражу.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Только 3 меры пресечени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я избираются судом, по ходатайству дознавателя, следователя - заключение под стражу, домашний арест и залог. Остальные меры пресечения избираются по постановлению дознавателя, следователя.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Чаще всего применяются такие меры пресечения, как подписка о невыез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де и заключение под стражу.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Подписка о невыезде и надлежащем поведении состоит в письменном обязательстве подозреваемого или обвиняемого: не покидать постоянное или временное место жительства без разрешения дознавателя, следователя или суда; в назначенный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срок являться по вызовам дознавателя, следователя или в суд; иным путем не препятствовать производству по уголовному делу.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Заключение под стражу в качестве самой строгой меры пресечения применяется по судебному решению в отношении подозреваемого или обвиня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емого в совершении преступлений, за которые уголовным законом предусмотрено наказание в виде лишения свободы на срок свыше трех лет при невозможности применения иной, более мягкой, меры пресечения.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lastRenderedPageBreak/>
        <w:t>В исключительных случаях эта мера пресечения может быть из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брана в отношении подозреваемого или обвиняемого в совершении преступления, за которое предусмотрено наказание в виде лишения свободы на срок до трех лет, при наличии одного из следующих обстоятельств: подозреваемый или обвиняемый не имеет постоянного мест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а жительства на территории Российской Федерации; его личность не установлена;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им нарушена ранее избранная мера пресечения; он скрылся от органов предварительного расследования или от суда.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Содержание под стражей избирается не более чем на два месяца.  При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необходимости она может быть продлена судом на срок до шести месяцев. Дальнейшее продление срока может быть осуществлено в отношении лиц, обвиняемых в совершении тяжких и особо тяжких преступлений, только в случаях особой сложности уголовного дела. Срок со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держания под стражей свыше 12 месяцев может быть продлен лишь в исключительных случаях.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Мера пресечения отменяется, когда в ней отпадает необходимость, или изменяется на более строгую или более мягкую, когда изменяются основания для избрания меры пресечени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я.</w:t>
      </w:r>
      <w:proofErr w:type="gramEnd"/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Вопрос о мере пресечения решается также судом при вынесении приговора или иного решения. Как правило, мера пресечения отменяется по вступлении приговора в законную силу, с момента начала отбывания лицом наказания, назначенного судом.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В соответствии со с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татьей 72 Уголовного кодекса Российской Федерации время нахождения лица в ходе предварительного следствия под домашним арестом, запретом определенных действий и (или) под стражей в качестве меры пресечения засчитывается в срок лишения свободы.</w:t>
      </w:r>
    </w:p>
    <w:p w:rsidR="003569EF" w:rsidRDefault="003569EF">
      <w:pPr>
        <w:widowControl/>
        <w:ind w:firstLine="850"/>
        <w:rPr>
          <w:rFonts w:ascii="Times New Roman" w:hAnsi="Times New Roman"/>
          <w:b/>
          <w:color w:val="212121"/>
          <w:spacing w:val="2"/>
          <w:sz w:val="28"/>
        </w:rPr>
      </w:pPr>
    </w:p>
    <w:p w:rsidR="003569EF" w:rsidRDefault="00277DA0">
      <w:pPr>
        <w:widowControl/>
        <w:ind w:firstLine="850"/>
        <w:jc w:val="both"/>
      </w:pP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>16. Об ответственности за продажу несовершеннолетним безалкогольных тонизирующих напитков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С 1 марта 2025 года на территории Российской Федерации запрещена продажа безалкогольных тонизирующих напитков, в том числе энергетиков, несовершеннолетним.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Продажа не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совершеннолетнему безалкогольного тонизирующего напитка (в том числе энергетического) является основанием для привлечения к административной ответственности по ст. 14.16.1 КоАП РФ.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За нарушение запрета продавать безалкогольные тонизирующие напитки (в том ч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исле энергетические) несовершеннолетним предусмотрен административный штраф: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для граждан - от 30 тыс. до 50 тыс. руб.;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должностных лиц - от 100 тыс. до 200 тыс. руб.;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юридических лиц - от 300 тыс. до 500 тыс. руб.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Законом Ненецкого автономного округа от 29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.05.2025 № 105-ОЗ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br/>
        <w:t>с 01.09.2025 также установлен запрет на продажу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, медицинской деятельности, деятельности в области культуры, физической культуры и спорта.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lastRenderedPageBreak/>
        <w:t xml:space="preserve">Нарушение установленного законодательством Ненецкого автономного округа запрета влечет административную ответственность в виде предупреждение или наложение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административного штрафа: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на граждан - в размере от трех тысяч до пяти тысяч рублей;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на должностных лиц - от 20 тыс. до 40 тыс. рублей;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на индивидуальных предпринимателей и юридических лиц - от 100 тыс. до 300 тыс. рублей.</w:t>
      </w:r>
    </w:p>
    <w:p w:rsidR="003569EF" w:rsidRDefault="003569EF">
      <w:pPr>
        <w:widowControl/>
        <w:ind w:firstLine="850"/>
        <w:jc w:val="both"/>
        <w:rPr>
          <w:rFonts w:ascii="Times New Roman" w:hAnsi="Times New Roman"/>
          <w:b/>
          <w:color w:val="212121"/>
          <w:spacing w:val="2"/>
          <w:sz w:val="28"/>
        </w:rPr>
      </w:pPr>
    </w:p>
    <w:p w:rsidR="003569EF" w:rsidRDefault="00277DA0">
      <w:pPr>
        <w:widowControl/>
        <w:ind w:firstLine="850"/>
        <w:jc w:val="both"/>
        <w:rPr>
          <w:rFonts w:ascii="Times New Roman" w:hAnsi="Times New Roman"/>
          <w:b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>17. Новые требования к рекламе у</w:t>
      </w: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>слуг, связанных с процедурой банкротства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С 01.03.2026 вступает в силу Федеральный закон от 31.07.2025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br/>
        <w:t xml:space="preserve">№ 332-ФЗ, которым дополнены требования к рекламе услуг, связанных с процедурой банкротства (статья 28.1 Федерального закона от 13.03.2006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br/>
        <w:t>№  38-ФЗ «О р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екламе»):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такая реклама не должна гарантировать или обещать освободить гражданина от исполнения денежных обязательств и (или) обязанности внести обязательные платежи, а также 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призывать не исполнять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их или утверждать, что есть такая возможность;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в рекламе н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е должно быть утверждения о том, что государство создало систему для освобождения граждан от исполнения денежных обязательств и (или) обязанности вносить обязательные платежи, а также упоминания о возможности освобождения граждан от их исполнения;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реклама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должна предупреждать о негативных последствиях банкротства.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Внесение указанных изменений обусловлено значительным количеством организаций ведущих агрессивные рекламные кампании и не придерживающихся стандартов качества оказываемых услуг, которые предоставл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яют гражданам неполную или недостоверную информацию об условиях и последствиях процедуры банкротства.</w:t>
      </w:r>
    </w:p>
    <w:p w:rsidR="003569EF" w:rsidRDefault="00277DA0">
      <w:pPr>
        <w:widowControl/>
        <w:ind w:firstLine="850"/>
        <w:jc w:val="both"/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Под воздействием рекламы граждане, попавшие в тяжелую финансовую ситуацию, тратят дополнительные средства на посреднические услуги в то время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,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как действу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ющим законодательством предусмотрен ряд бесплатных механизмов по смягчению долговой нагрузки, включая кредитные каникулы и процедуру внесудебного банкротства, оказываемую бесплатно в МФЦ по месту жительства или пребывания заявителя (статья 223.7 Федерально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го закона от 26.10.2002№ 127-ФЗ «О несостоятельности (банкротстве)»).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</w:t>
      </w:r>
    </w:p>
    <w:p w:rsidR="003569EF" w:rsidRDefault="00277DA0">
      <w:pPr>
        <w:widowControl/>
        <w:jc w:val="both"/>
        <w:rPr>
          <w:rFonts w:ascii="Times New Roman" w:hAnsi="Times New Roman"/>
          <w:b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>18. Компенсации морального вреда, причиненного преступлением</w:t>
      </w:r>
    </w:p>
    <w:p w:rsidR="003569EF" w:rsidRDefault="00277DA0">
      <w:pPr>
        <w:widowControl/>
        <w:ind w:firstLine="709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 Права и свободы человека и гражданина признаются и гарантируются согласно общепризнанным принципам и нормам международног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о права и в соответствии с Конституцией Российской Федерации, каждый вправе защищать свои права и свободы всеми способами, не запрещенными законом (статьи 17 и 45 Конституции Российской Федерации).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Одним из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способов защиты гражданских прав является компенсация морального вреда (статьи 12, 151 Гражданского кодекса Российской Федерации).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lastRenderedPageBreak/>
        <w:t>Под моральным вредом понимаются нравственные или физические страдания, причиненные действиями (бездействием), посягающими на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принадлежащие гражданину от рождения или в силу закона нематериальные блага или нарушающими его личные неимущественные права (например, жизнь, здоровье, достоинство личности, свободу, личную неприкосновенность, неприкосновенность частной жизни, личную и с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емейную тайну, честь и доброе имя, тайну переписки, телефонных переговоров, почтовых отправлений, телеграфных и иных сообщений, неприкосновенность жилища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>, свободу передвижения, свободу выбора места пребывания и жительства, право свободно распоряжаться свои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ми способностями к труду, выбирать род деятельности и профессии и т.д.).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Гражданин, потерпевший от преступления против собственности, например, при совершении кражи, мошенничества, присвоения или растраты имущества, причинения имущественного ущерба путем о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бмана или злоупотребления доверием и др., вправе предъявить требование о компенсации морального вреда, если ему причинены физические или нравственные страдания вследствие нарушения личных неимущественных прав либо посягательства на принадлежащие ему немате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риальные блага (часть первая статьи 151, статья 1099 ГК РФ и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часть 1 статьи 44 Уголовно-процессуального кодекса Российской Федерации, далее - УПК РФ).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В указанных случаях потерпевший вправе требовать компенсации морального вреда, в том числе путем предъявл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ения самостоятельного иска в порядке гражданского судопроизводства.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Факт причинения морального вреда потерпевшему от преступления, в том числе преступления против собственности, не нуждается в доказывании, если судом на основе исследования фактических обст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оятельств дела установлено, что это преступление нарушает личные неимущественные права потерпевшего либо посягает на принадлежащие ему нематериальные блага.</w:t>
      </w:r>
    </w:p>
    <w:p w:rsidR="003569EF" w:rsidRDefault="00277DA0">
      <w:pPr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Иск о компенсации морального вреда, причиненного гражданину непосредственно преступлением, 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исходя и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з положений частей 1 и 2 статьи 44 УПК РФ может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быть предъявлен по уголовному делу после его возбуждения и до окончания судебного следствия при разбирательстве данного уголовного дела в суде первой инстанции. В случае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,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если гражданский иск о компенсации мо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рального вреда, вытекающий из уголовного дела, не был предъявлен или не был разрешен при производстве по уголовному делу, он предъявляется для рассмотрения в порядке гражданского судопроизводства по правилам подсудности, установленным Гражданским процессуа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льным кодексом Российской Федерации.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По общему правилу, моральный вред компенсируется в денежной форме.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При определении размера компенсации морального вреда учитываются требования разумности и справедливости (пункт 2 статьи 1101 ГК РФ).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Сумма компенсации м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орального вреда, подлежащая взысканию с ответчика, должна быть соразмерной последствиям нарушения и компенсировать потерпевшему перенесенные им физические или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lastRenderedPageBreak/>
        <w:t>нравственные страдания (статья 151 ГК РФ), устранить эти страдания либо сгладить их остроту.</w:t>
      </w:r>
    </w:p>
    <w:p w:rsidR="003569EF" w:rsidRDefault="003569EF">
      <w:pPr>
        <w:widowControl/>
        <w:jc w:val="both"/>
        <w:rPr>
          <w:rFonts w:ascii="Times New Roman" w:hAnsi="Times New Roman"/>
          <w:color w:val="212121"/>
          <w:spacing w:val="2"/>
          <w:sz w:val="28"/>
        </w:rPr>
      </w:pPr>
    </w:p>
    <w:p w:rsidR="003569EF" w:rsidRDefault="00277DA0">
      <w:pPr>
        <w:widowControl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Fonts w:ascii="Times New Roman" w:hAnsi="Times New Roman"/>
          <w:b/>
          <w:color w:val="212121"/>
          <w:spacing w:val="2"/>
          <w:sz w:val="28"/>
        </w:rPr>
        <w:t>19.</w:t>
      </w:r>
      <w:r>
        <w:rPr>
          <w:rFonts w:ascii="Times New Roman" w:hAnsi="Times New Roman"/>
          <w:b/>
          <w:color w:val="212121"/>
          <w:spacing w:val="2"/>
          <w:sz w:val="28"/>
        </w:rPr>
        <w:t xml:space="preserve"> Кража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Кража - это незаконное изъятие имущества в отсутствие собственника (иного владельца, посторонних) либо в их присутствии, но незаметно для них.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br/>
        <w:t>Деяние признают кражей, если: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виновный полагал, что изымает имущество тайно, хотя собственник (иной владел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ец, посторонние) видели совершаемое;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имущество изъято в присутствии лица, не осознававшего противоправность деяния, либо близкого родственника виновного (когда виновный рассчитывал на отсутствие противодействия);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нашедший вещь знал, что вещь не брошена, но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не принял мер, чтобы вернуть ее, утаил ее (уничтожил индивидуальные признаки), желая обратить в свою пользу (пользу других лиц), чем причинил ущерб ее хозяину;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нашедший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вещь тайно завладел ею, хотя видел, как она потерялась, и мог вернуть ее хозяину.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В те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х случаях, когда лица видели, что совершается хищение, однако виновный, исходя из окружающей обстановки, полагал, что действует тайно, содеянное также является тайным хищением чужого имущества.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Кража считается оконченной, если имущество 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изъято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и виновный и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меет реальную возможность им пользоваться или распоряжаться по своему усмотрению (например, обратить похищенное имущество в свою пользу или в пользу других лиц, распорядиться им с корыстной целью иным образом). 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Уголовная ответственность 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предусмотрена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если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сумма похищенного превышает 2 500,00 рублей.</w:t>
      </w:r>
    </w:p>
    <w:p w:rsidR="003569EF" w:rsidRDefault="00277DA0">
      <w:pPr>
        <w:widowControl/>
        <w:ind w:firstLine="850"/>
        <w:jc w:val="both"/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Кража наказывается штрафом в размере до восьмидесяти тысяч рублей или в размере заработной платы или иного дохода осужденного за период до шести месяцев, либо обязательными работами на срок до трехсот шестидеся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ти часов, либо исправительными работами на срок до одного года, либо ограничением свободы на срок до двух лет, либо принудительными работами на срок до двух лет, либо арестом на срок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до четырех месяцев, либо лишением свободы на срок до двух лет.</w:t>
      </w:r>
    </w:p>
    <w:p w:rsidR="003569EF" w:rsidRDefault="00277DA0">
      <w:pPr>
        <w:widowControl/>
        <w:ind w:firstLine="850"/>
        <w:jc w:val="both"/>
      </w:pP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br/>
        <w:t xml:space="preserve">20. </w:t>
      </w: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t>Производство, хранение, перевозка либо сбыт товаров и продукции, выполнение работ или оказание услуг, не отвечающих требованиям безопасности</w:t>
      </w:r>
      <w:r>
        <w:rPr>
          <w:rStyle w:val="1"/>
          <w:rFonts w:ascii="Times New Roman" w:hAnsi="Times New Roman"/>
          <w:b/>
          <w:color w:val="212121"/>
          <w:spacing w:val="2"/>
          <w:sz w:val="28"/>
        </w:rPr>
        <w:br/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Статьей 238 Уголовного кодекса Российской Федерации (далее - УК РФ) предусмотрена ответственность за производство,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хранение или перевозку в целях сбыта либо сбыт товаров и продукции, выполнение работ или оказание услуг, не отвечающих требованиям безопасности жизни или здоровья потребителей, а равно неправомерные выдача или использование официального документа, удостов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еряющего соответствие указанных товаров, работ или услуг требованиям безопасности.</w:t>
      </w:r>
      <w:proofErr w:type="gramEnd"/>
    </w:p>
    <w:p w:rsidR="003569EF" w:rsidRDefault="00277DA0">
      <w:pPr>
        <w:widowControl/>
        <w:ind w:firstLine="850"/>
        <w:jc w:val="both"/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lastRenderedPageBreak/>
        <w:t>По смыслу закона уголовная ответственность наступает за производство, хранение или перевозку в целях сбыта либо сбыт товаров и продукции, выполнение работ или оказание услуг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, которые по своему составу, конструкции, свойствам или качеству не отвечают требованиям, установленным в Законе Российской Федерации «О защите прав потребителей», в Федеральных законах «О качестве и безопасности пищевых продуктов», «О государственном регу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лировании производства и оборота этилового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спирта, алкогольной и спиртосодержащей продукции и об ограничении потребления (распития) алкогольной продукции», «О техническом регулировании», Технических регламентах Таможенного союза «О безопасности продукции,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предназначенной для детей и подростков», «Безопасность лифтов», «О безопасности пищевой продукции», в других федеральных законах и международно-правовых актах, а также в принятых в соответствии с ними иных нормативных правовых актах Российской Федерации, е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сли эти товары, продукция, работы или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услуги являются опасными для жизни или здоровья человека</w:t>
      </w:r>
      <w:r>
        <w:t>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Уголовная ответственность наступает при условии, что опасность товаров, продукции, работ или услуг для жизни или здоровья человека является реальной.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О реальной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опасности товаров и продукции может свидетельствовать, в частности, наличие в них на момент производства, хранения, перевозки или сбыта веществ или конструктивных недостатков, которые при употреблении или ином использовании этих товаров и продукции в обыч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ных условиях могли повлечь смерть или причинение тяжкого вреда здоровью человека, а о реальной опасности выполняемых (выполненных) работ или оказываемых (оказанных) услуг - такое их качество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, при </w:t>
      </w: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>котором</w:t>
      </w:r>
      <w:proofErr w:type="gramEnd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 выполнение работ или оказание услуг в обычных услови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ях могло привести к указанным тяжким последствиям.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>Необходимым условием наступления уголовной ответственности за производство, хранение, перевозку товаров, продукции, не отвечающих требованиям безопасности, является совершение этих деяний в целях сбыта.</w:t>
      </w:r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proofErr w:type="gramStart"/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О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наличии у лица цели сбыта должны свидетельствовать не только количество (объем) произведенного, хранимого, перевозимого товара, продукции, не отвечающих требованиям безопасности, но и совершение действий, подтверждающих намерение лица сбыть этот товар, про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дукцию, например их предпродажная подготовка, рекламирование, наличие договоренности с торговыми организациями, потребителями об их реализации, размещение товара, продукции в местах торговли и т.п.</w:t>
      </w:r>
      <w:proofErr w:type="gramEnd"/>
    </w:p>
    <w:p w:rsidR="003569EF" w:rsidRDefault="00277DA0">
      <w:pPr>
        <w:widowControl/>
        <w:ind w:firstLine="850"/>
        <w:jc w:val="both"/>
        <w:rPr>
          <w:rFonts w:ascii="Times New Roman" w:hAnsi="Times New Roman"/>
          <w:color w:val="212121"/>
          <w:spacing w:val="2"/>
          <w:sz w:val="28"/>
        </w:rPr>
      </w:pPr>
      <w:r>
        <w:rPr>
          <w:rStyle w:val="1"/>
          <w:rFonts w:ascii="Times New Roman" w:hAnsi="Times New Roman"/>
          <w:color w:val="212121"/>
          <w:spacing w:val="2"/>
          <w:sz w:val="28"/>
        </w:rPr>
        <w:t xml:space="preserve">Под услугами, не отвечающими требованиям безопасности для </w:t>
      </w:r>
      <w:r>
        <w:rPr>
          <w:rStyle w:val="1"/>
          <w:rFonts w:ascii="Times New Roman" w:hAnsi="Times New Roman"/>
          <w:color w:val="212121"/>
          <w:spacing w:val="2"/>
          <w:sz w:val="28"/>
        </w:rPr>
        <w:t>жизни и здоровья потребителей, подпадают медицинские, культурные, транспортные и иные услуги, пользование которыми создает опасность для жизни и здоровья потребителей.</w:t>
      </w:r>
    </w:p>
    <w:p w:rsidR="003569EF" w:rsidRDefault="003569EF">
      <w:pPr>
        <w:widowControl/>
        <w:ind w:firstLine="540"/>
        <w:jc w:val="both"/>
      </w:pPr>
    </w:p>
    <w:p w:rsidR="003569EF" w:rsidRDefault="003569EF">
      <w:pPr>
        <w:widowControl/>
        <w:rPr>
          <w:rFonts w:ascii="Times New Roman" w:hAnsi="Times New Roman"/>
          <w:sz w:val="20"/>
        </w:rPr>
      </w:pPr>
    </w:p>
    <w:p w:rsidR="003569EF" w:rsidRDefault="003569EF">
      <w:pPr>
        <w:widowControl/>
        <w:rPr>
          <w:rFonts w:ascii="Times New Roman" w:hAnsi="Times New Roman"/>
          <w:sz w:val="20"/>
        </w:rPr>
      </w:pPr>
    </w:p>
    <w:p w:rsidR="003569EF" w:rsidRDefault="003569EF">
      <w:pPr>
        <w:widowControl/>
      </w:pPr>
    </w:p>
    <w:p w:rsidR="003569EF" w:rsidRDefault="003569EF">
      <w:pPr>
        <w:widowControl/>
        <w:rPr>
          <w:rFonts w:ascii="Times New Roman" w:hAnsi="Times New Roman"/>
          <w:sz w:val="20"/>
        </w:rPr>
      </w:pPr>
    </w:p>
    <w:p w:rsidR="003569EF" w:rsidRDefault="003569EF">
      <w:pPr>
        <w:widowControl/>
        <w:rPr>
          <w:rFonts w:ascii="Times New Roman" w:hAnsi="Times New Roman"/>
          <w:sz w:val="20"/>
        </w:rPr>
      </w:pPr>
    </w:p>
    <w:p w:rsidR="003569EF" w:rsidRDefault="003569EF">
      <w:pPr>
        <w:widowControl/>
      </w:pPr>
    </w:p>
    <w:p w:rsidR="003569EF" w:rsidRDefault="003569EF">
      <w:pPr>
        <w:widowControl/>
        <w:rPr>
          <w:rFonts w:ascii="Times New Roman" w:hAnsi="Times New Roman"/>
          <w:sz w:val="20"/>
        </w:rPr>
      </w:pPr>
    </w:p>
    <w:p w:rsidR="003569EF" w:rsidRDefault="003569EF">
      <w:pPr>
        <w:widowControl/>
        <w:rPr>
          <w:rFonts w:ascii="Times New Roman" w:hAnsi="Times New Roman"/>
          <w:sz w:val="20"/>
        </w:rPr>
      </w:pPr>
    </w:p>
    <w:p w:rsidR="003569EF" w:rsidRDefault="003569EF">
      <w:pPr>
        <w:widowControl/>
      </w:pPr>
    </w:p>
    <w:p w:rsidR="003569EF" w:rsidRDefault="00277DA0">
      <w:pPr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А.А. Серебренникова, 88185346872 (доб. 0034</w:t>
      </w:r>
      <w:bookmarkStart w:id="0" w:name="_GoBack"/>
      <w:bookmarkEnd w:id="0"/>
      <w:r>
        <w:rPr>
          <w:rFonts w:ascii="Times New Roman" w:hAnsi="Times New Roman"/>
          <w:sz w:val="20"/>
        </w:rPr>
        <w:t>)</w:t>
      </w:r>
    </w:p>
    <w:sectPr w:rsidR="003569EF">
      <w:pgSz w:w="11908" w:h="16848"/>
      <w:pgMar w:top="850" w:right="850" w:bottom="85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3076D"/>
    <w:multiLevelType w:val="multilevel"/>
    <w:tmpl w:val="15B40994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569EF"/>
    <w:rsid w:val="00277DA0"/>
    <w:rsid w:val="0035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7072</Words>
  <Characters>40316</Characters>
  <Application>Microsoft Office Word</Application>
  <DocSecurity>0</DocSecurity>
  <Lines>335</Lines>
  <Paragraphs>94</Paragraphs>
  <ScaleCrop>false</ScaleCrop>
  <Company/>
  <LinksUpToDate>false</LinksUpToDate>
  <CharactersWithSpaces>47294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Талеева Виталина Михайловна</cp:lastModifiedBy>
  <cp:revision>2</cp:revision>
  <dcterms:created xsi:type="dcterms:W3CDTF">2025-12-19T09:02:00Z</dcterms:created>
  <dcterms:modified xsi:type="dcterms:W3CDTF">2025-12-25T07:08:00Z</dcterms:modified>
</cp:coreProperties>
</file>